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E5" w:rsidRDefault="003D16E5" w:rsidP="003D16E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E5" w:rsidRDefault="003D16E5" w:rsidP="008E58D6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8E58D6">
        <w:rPr>
          <w:sz w:val="28"/>
        </w:rPr>
        <w:t xml:space="preserve">                                                                       </w:t>
      </w:r>
      <w:r>
        <w:rPr>
          <w:sz w:val="28"/>
        </w:rPr>
        <w:t>ГОРОДСКОГО ПОСЕЛЕНИЯ</w:t>
      </w:r>
      <w:r w:rsidR="008E58D6">
        <w:rPr>
          <w:sz w:val="28"/>
        </w:rPr>
        <w:t xml:space="preserve"> </w:t>
      </w:r>
      <w:r>
        <w:rPr>
          <w:sz w:val="28"/>
        </w:rPr>
        <w:t>«ПУШКИНОГОРЬЕ»</w:t>
      </w:r>
    </w:p>
    <w:p w:rsidR="003D16E5" w:rsidRDefault="003D16E5" w:rsidP="008E58D6">
      <w:pPr>
        <w:jc w:val="center"/>
        <w:rPr>
          <w:sz w:val="28"/>
        </w:rPr>
      </w:pPr>
      <w:r>
        <w:rPr>
          <w:sz w:val="28"/>
        </w:rPr>
        <w:t>ПУШКИНОГОРСКОГО РАЙОНА</w:t>
      </w:r>
      <w:r w:rsidR="008E58D6">
        <w:rPr>
          <w:sz w:val="28"/>
        </w:rPr>
        <w:t xml:space="preserve"> </w:t>
      </w:r>
      <w:r>
        <w:rPr>
          <w:sz w:val="28"/>
        </w:rPr>
        <w:t>ПСКОВСКОЙ ОБЛАСТИ</w:t>
      </w:r>
    </w:p>
    <w:p w:rsidR="003D16E5" w:rsidRDefault="003D16E5" w:rsidP="003D16E5">
      <w:pPr>
        <w:jc w:val="center"/>
        <w:rPr>
          <w:sz w:val="28"/>
        </w:rPr>
      </w:pPr>
    </w:p>
    <w:p w:rsidR="003D16E5" w:rsidRDefault="003D16E5" w:rsidP="003D16E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3D16E5" w:rsidRDefault="003D16E5" w:rsidP="003D16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17.12.2010 № 52</w:t>
      </w:r>
    </w:p>
    <w:p w:rsidR="003D16E5" w:rsidRDefault="003D16E5" w:rsidP="003D16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Пушкинские горы</w:t>
      </w:r>
    </w:p>
    <w:p w:rsidR="003D16E5" w:rsidRDefault="003D16E5" w:rsidP="003D16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(принято на девятой сессии Собрания депутатов</w:t>
      </w:r>
      <w:proofErr w:type="gramEnd"/>
    </w:p>
    <w:p w:rsidR="003D16E5" w:rsidRDefault="003D16E5" w:rsidP="003D16E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3D16E5" w:rsidRDefault="003D16E5" w:rsidP="003D16E5">
      <w:pPr>
        <w:rPr>
          <w:sz w:val="28"/>
          <w:szCs w:val="28"/>
        </w:rPr>
      </w:pPr>
    </w:p>
    <w:p w:rsidR="003D16E5" w:rsidRDefault="003D16E5" w:rsidP="003D16E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11288" w:rsidRDefault="00E11288" w:rsidP="003D16E5">
      <w:pPr>
        <w:rPr>
          <w:sz w:val="28"/>
          <w:szCs w:val="28"/>
        </w:rPr>
      </w:pPr>
      <w:r>
        <w:rPr>
          <w:sz w:val="28"/>
          <w:szCs w:val="28"/>
        </w:rPr>
        <w:t>В РЕШЕНИЕ СОБРАНИЯ ДЕПУТАТОВ</w:t>
      </w:r>
    </w:p>
    <w:p w:rsidR="003D16E5" w:rsidRDefault="00E11288" w:rsidP="003D16E5">
      <w:pPr>
        <w:rPr>
          <w:sz w:val="28"/>
          <w:szCs w:val="28"/>
        </w:rPr>
      </w:pPr>
      <w:r>
        <w:rPr>
          <w:sz w:val="28"/>
          <w:szCs w:val="28"/>
        </w:rPr>
        <w:t>ОТ 30.11.2010 Г. № 47 «</w:t>
      </w:r>
      <w:r w:rsidR="003D16E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</w:p>
    <w:p w:rsidR="003D16E5" w:rsidRDefault="003D16E5" w:rsidP="003D1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D16E5" w:rsidRDefault="003D16E5" w:rsidP="003D1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ИМУЩЕСТВА ГОРОДСКОГО ПОСЕЛЕНИЯ</w:t>
      </w:r>
    </w:p>
    <w:p w:rsidR="003D16E5" w:rsidRDefault="003D16E5" w:rsidP="003D16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11288" w:rsidRDefault="00E11288" w:rsidP="003D16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16E5" w:rsidRDefault="00E11288" w:rsidP="00E112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Пушкиногорского района № 22-7-2010 от 09.12.2010 года на раздел 3 Положения «О приватизации муниципального имущества городского поселения «Пушкиногорье»</w:t>
      </w:r>
      <w:r w:rsidR="003D16E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Собрания депутатов городского поселения «Пушкиногорье» от 30.11.2010 года № 47,</w:t>
      </w:r>
      <w:r w:rsidR="003D16E5">
        <w:rPr>
          <w:sz w:val="28"/>
          <w:szCs w:val="28"/>
        </w:rPr>
        <w:t xml:space="preserve"> </w:t>
      </w:r>
    </w:p>
    <w:p w:rsidR="003D16E5" w:rsidRDefault="003D16E5" w:rsidP="00E11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  <w:r w:rsidR="00E11288">
        <w:rPr>
          <w:sz w:val="28"/>
          <w:szCs w:val="28"/>
        </w:rPr>
        <w:t xml:space="preserve"> </w:t>
      </w:r>
      <w:r>
        <w:rPr>
          <w:sz w:val="28"/>
          <w:szCs w:val="28"/>
        </w:rPr>
        <w:t>«Пушкиногорье»</w:t>
      </w:r>
    </w:p>
    <w:p w:rsidR="003D16E5" w:rsidRDefault="003D16E5" w:rsidP="003D16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3D16E5" w:rsidRDefault="003D16E5" w:rsidP="003D16E5">
      <w:pPr>
        <w:jc w:val="center"/>
        <w:rPr>
          <w:sz w:val="28"/>
          <w:szCs w:val="28"/>
        </w:rPr>
      </w:pPr>
    </w:p>
    <w:p w:rsidR="003D16E5" w:rsidRDefault="003D16E5" w:rsidP="003D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28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«О приватизации муниципального имущества городского поселения «Пушкиногорье»</w:t>
      </w:r>
      <w:r w:rsidR="00E11288">
        <w:rPr>
          <w:sz w:val="28"/>
          <w:szCs w:val="28"/>
        </w:rPr>
        <w:t>, утвержденного Решением Собрания депутатов городского поселения «Пушкиногорье» от 30.11.2010 г. № 47</w:t>
      </w:r>
      <w:r w:rsidR="00FE11EC">
        <w:rPr>
          <w:sz w:val="28"/>
          <w:szCs w:val="28"/>
        </w:rPr>
        <w:t xml:space="preserve"> следующие изменения и дополнения:</w:t>
      </w:r>
    </w:p>
    <w:p w:rsidR="007B07AE" w:rsidRDefault="00FE1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07AE" w:rsidRPr="008A45FC">
        <w:rPr>
          <w:b/>
          <w:sz w:val="28"/>
          <w:szCs w:val="28"/>
        </w:rPr>
        <w:t xml:space="preserve">Пункт 3.2. раздела 3 </w:t>
      </w:r>
      <w:r w:rsidR="00DD1D2D" w:rsidRPr="008A45FC">
        <w:rPr>
          <w:b/>
          <w:sz w:val="28"/>
          <w:szCs w:val="28"/>
        </w:rPr>
        <w:t>изложить в следующей редакции:</w:t>
      </w:r>
      <w:r w:rsidR="00DD1D2D">
        <w:rPr>
          <w:sz w:val="28"/>
          <w:szCs w:val="28"/>
        </w:rPr>
        <w:t xml:space="preserve"> </w:t>
      </w:r>
      <w:proofErr w:type="gramStart"/>
      <w:r w:rsidR="00DD1D2D">
        <w:rPr>
          <w:sz w:val="28"/>
          <w:szCs w:val="28"/>
        </w:rPr>
        <w:t>«Информационное сообщение о продаже государственного или муниципального имущества подлежит опубликованию в официальном печатном издании, а также размещению на официальном сайте в сети "Интернет", сайте продавца муниципального имущества в сети "Интернет" (далее также - сайты в сети "Интернет"), определенных Администрацией городского поселения «Пушкиногорье», не менее чем за тридцать дней до дня осуществления продажи указанного имущества, если иное не предусмотрено Федеральным законом.</w:t>
      </w:r>
      <w:r w:rsidR="00DD1D2D">
        <w:rPr>
          <w:sz w:val="28"/>
          <w:szCs w:val="28"/>
        </w:rPr>
        <w:tab/>
      </w:r>
      <w:proofErr w:type="gramEnd"/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муниципального имущества, подлежащее опубликованию в официальном печатном издании, должно </w:t>
      </w:r>
      <w:r>
        <w:rPr>
          <w:sz w:val="28"/>
          <w:szCs w:val="28"/>
        </w:rPr>
        <w:lastRenderedPageBreak/>
        <w:t>содержать, за исключением случаев, предусмотренных Федеральным законом, следующие сведения: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способ приватизации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начальная цена продажи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форма подачи предложений о цене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условия и сроки платежа, необходимые реквизиты счетов;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исчерпывающий перечень представляемых покупателями документов;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срок заключения договора купли-продажи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порядок определения победителей (при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место и срок подведения итогов продажи муниципального имущества.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акций открытого акционерного общества, находящихся в муниципальной собственности, также указываются следующие сведения: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наименование, почтовый адрес и место нахождения открытого акционерного общества;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основной продукции (работ, услуг), производство которой осуществляется открытым акционерным обществом;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условия конкурса при продаже акций открытого акционерного общества на конкурсе;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имущества, размещаемое на сайтах в сети "Интернет", наряду со сведениями, предусмотренными пунктами 3 и 4 настоящей статьи, должно содержать следующие сведения: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требования к оформлению представляемых покупателями документов;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численность работников открытого акционерного общества;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решению Администрации городского поселения «Пушкиногорье»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отношении объектов, включенных в прогнозный план (программу)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и место проведения торгов;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продавца такого имущества;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поданных заявок;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лица, признанные участниками торгов;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цена сделки приватизации;</w:t>
      </w:r>
    </w:p>
    <w:p w:rsidR="007B07AE" w:rsidRDefault="007B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имя физического лица или наименование ю</w:t>
      </w:r>
      <w:r w:rsidR="00BA6E3F">
        <w:rPr>
          <w:sz w:val="28"/>
          <w:szCs w:val="28"/>
        </w:rPr>
        <w:t>ридического лица - покупателя</w:t>
      </w:r>
      <w:r>
        <w:rPr>
          <w:sz w:val="28"/>
          <w:szCs w:val="28"/>
        </w:rPr>
        <w:t>"</w:t>
      </w:r>
      <w:r w:rsidR="00BA6E3F">
        <w:rPr>
          <w:sz w:val="28"/>
          <w:szCs w:val="28"/>
        </w:rPr>
        <w:t>.</w:t>
      </w:r>
    </w:p>
    <w:p w:rsidR="00786122" w:rsidRDefault="00C83D3E" w:rsidP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6122" w:rsidRPr="008A45FC">
        <w:rPr>
          <w:b/>
          <w:sz w:val="28"/>
          <w:szCs w:val="28"/>
        </w:rPr>
        <w:t>Пункт 4.5. раздела 4 изложить в следующей редакции:</w:t>
      </w:r>
      <w:r w:rsidR="00786122">
        <w:rPr>
          <w:sz w:val="28"/>
          <w:szCs w:val="28"/>
        </w:rPr>
        <w:t xml:space="preserve"> 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4.5.1.</w:t>
      </w:r>
      <w:r w:rsidR="00786122">
        <w:rPr>
          <w:sz w:val="28"/>
          <w:szCs w:val="28"/>
        </w:rPr>
        <w:t>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2. Информационное сообщение о продаже посредством публичного предложения наряду со сведениями, предусмотренными пунктом 3.2 настоящего Положения, должно содержать следующие сведения: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дата, время и место проведения продажи посредством публичного предложения;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величина снижения цены первоначального предложения ("шаг понижения"), величина повышения цены в случае, предусмотренном Федеральным законом ("шаг аукциона");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минимальная цена предложения, по которой может быть продано муниципальное имущество (цена отсечения).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 xml:space="preserve">3. Цена первоначального предложения устанавливается не ниже начальной цены, указанной в информационном сообщении о продаже указанного в пункте </w:t>
      </w: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86122">
        <w:rPr>
          <w:sz w:val="28"/>
          <w:szCs w:val="28"/>
        </w:rPr>
        <w:t xml:space="preserve"> настоящей статьи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4. Продолжительность приема заявок должна быть не менее чем двадцать пять дней. Одно лицо имеет право подать только одну заявку.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5.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</w:t>
      </w:r>
      <w:r>
        <w:rPr>
          <w:sz w:val="28"/>
          <w:szCs w:val="28"/>
        </w:rPr>
        <w:lastRenderedPageBreak/>
        <w:t>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6. Продажа посредством публичного предложения, в которой принял участие только один участник, признается несостоявшейся.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7. Претендент не допускается к участию в продаже посредством публичного предложения по следующим основаниям: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86122" w:rsidRDefault="007861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 xml:space="preserve">8. Перечень указанных в пункте </w:t>
      </w: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7 настоящей статьи оснований отказа претенденту в участии в продаже посредством публичного предложения является исчерпывающим.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10.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>11.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 xml:space="preserve">12. Суммы задатков возвращаются участникам продажи посредством публичного предложения, за исключением победителя такой продажи, в течение пяти дней </w:t>
      </w:r>
      <w:proofErr w:type="gramStart"/>
      <w:r w:rsidR="00786122">
        <w:rPr>
          <w:sz w:val="28"/>
          <w:szCs w:val="28"/>
        </w:rPr>
        <w:t>с даты подведения</w:t>
      </w:r>
      <w:proofErr w:type="gramEnd"/>
      <w:r w:rsidR="00786122">
        <w:rPr>
          <w:sz w:val="28"/>
          <w:szCs w:val="28"/>
        </w:rPr>
        <w:t xml:space="preserve"> ее итогов.</w:t>
      </w:r>
    </w:p>
    <w:p w:rsidR="00786122" w:rsidRDefault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 xml:space="preserve">13. Не позднее чем через пять дней </w:t>
      </w:r>
      <w:proofErr w:type="gramStart"/>
      <w:r w:rsidR="00786122">
        <w:rPr>
          <w:sz w:val="28"/>
          <w:szCs w:val="28"/>
        </w:rPr>
        <w:t>с даты выдачи</w:t>
      </w:r>
      <w:proofErr w:type="gramEnd"/>
      <w:r w:rsidR="00786122">
        <w:rPr>
          <w:sz w:val="28"/>
          <w:szCs w:val="28"/>
        </w:rPr>
        <w:t xml:space="preserve"> уведомления о признании участника продажи посредством публичного предложения победителем с ним заключается договор купли-продажи.</w:t>
      </w:r>
    </w:p>
    <w:p w:rsidR="00FE11EC" w:rsidRDefault="008A45FC" w:rsidP="008A4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</w:t>
      </w:r>
      <w:r w:rsidR="00786122">
        <w:rPr>
          <w:sz w:val="28"/>
          <w:szCs w:val="28"/>
        </w:rPr>
        <w:t xml:space="preserve">14. Передача муниципального имущества и оформление права собственности на него осуществляются в соответствии с законодательством </w:t>
      </w:r>
      <w:r w:rsidR="00786122">
        <w:rPr>
          <w:sz w:val="28"/>
          <w:szCs w:val="28"/>
        </w:rPr>
        <w:lastRenderedPageBreak/>
        <w:t>Российской Федерации не позднее чем через тридцать дней после дня полной оплаты имущества.</w:t>
      </w:r>
    </w:p>
    <w:p w:rsidR="003D16E5" w:rsidRDefault="008A45FC" w:rsidP="003D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6E5">
        <w:rPr>
          <w:sz w:val="28"/>
          <w:szCs w:val="28"/>
        </w:rPr>
        <w:t>. Настоящее решение вступает в силу с момента его принятия.</w:t>
      </w:r>
    </w:p>
    <w:p w:rsidR="003D16E5" w:rsidRPr="008E58D6" w:rsidRDefault="008E58D6" w:rsidP="003D16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58D6">
        <w:rPr>
          <w:sz w:val="28"/>
          <w:szCs w:val="28"/>
        </w:rPr>
        <w:t xml:space="preserve"> 3. </w:t>
      </w:r>
      <w:r>
        <w:rPr>
          <w:sz w:val="28"/>
          <w:szCs w:val="28"/>
        </w:rPr>
        <w:t>Обнародовать настоящее Решение в установленном Уставом порядке</w:t>
      </w:r>
      <w:r w:rsidRPr="007E30D9">
        <w:rPr>
          <w:sz w:val="28"/>
          <w:szCs w:val="28"/>
        </w:rPr>
        <w:t>.</w:t>
      </w:r>
    </w:p>
    <w:p w:rsidR="008E58D6" w:rsidRDefault="008E58D6" w:rsidP="003D16E5">
      <w:pPr>
        <w:jc w:val="both"/>
        <w:rPr>
          <w:sz w:val="28"/>
          <w:szCs w:val="28"/>
        </w:rPr>
      </w:pPr>
    </w:p>
    <w:p w:rsidR="003D16E5" w:rsidRDefault="003D16E5" w:rsidP="003D1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D16E5" w:rsidRDefault="003D16E5" w:rsidP="003D16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D16E5" w:rsidRDefault="003D16E5" w:rsidP="003D16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</w:p>
    <w:p w:rsidR="003D16E5" w:rsidRDefault="003D16E5" w:rsidP="003D16E5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D16E5" w:rsidRDefault="003D16E5" w:rsidP="003D16E5"/>
    <w:p w:rsidR="00D551BD" w:rsidRDefault="008E58D6"/>
    <w:sectPr w:rsidR="00D551BD" w:rsidSect="00A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E5"/>
    <w:rsid w:val="001D74C8"/>
    <w:rsid w:val="003D16E5"/>
    <w:rsid w:val="00697EAE"/>
    <w:rsid w:val="00786122"/>
    <w:rsid w:val="007B07AE"/>
    <w:rsid w:val="008A45FC"/>
    <w:rsid w:val="008E58D6"/>
    <w:rsid w:val="00A632A9"/>
    <w:rsid w:val="00A74BF3"/>
    <w:rsid w:val="00B449DF"/>
    <w:rsid w:val="00BA6E3F"/>
    <w:rsid w:val="00C83D3E"/>
    <w:rsid w:val="00DD1D2D"/>
    <w:rsid w:val="00E11288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2010-12-15T11:09:00Z</cp:lastPrinted>
  <dcterms:created xsi:type="dcterms:W3CDTF">2010-12-15T05:25:00Z</dcterms:created>
  <dcterms:modified xsi:type="dcterms:W3CDTF">2010-12-15T11:10:00Z</dcterms:modified>
</cp:coreProperties>
</file>